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069A8">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500854</w:t>
      </w:r>
      <w:bookmarkStart w:id="9" w:name="_GoBack"/>
      <w:bookmarkEnd w:id="9"/>
    </w:p>
    <w:p w14:paraId="4CB2DB91">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February</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1571048C">
      <w:pPr>
        <w:tabs>
          <w:tab w:val="left" w:pos="1765"/>
          <w:tab w:val="center" w:pos="4557"/>
        </w:tabs>
        <w:rPr>
          <w:b/>
          <w:sz w:val="22"/>
        </w:rPr>
      </w:pPr>
    </w:p>
    <w:p w14:paraId="45AFF743">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7.30.3</w:t>
      </w:r>
    </w:p>
    <w:p w14:paraId="5D605285">
      <w:pPr>
        <w:tabs>
          <w:tab w:val="left" w:pos="1765"/>
        </w:tabs>
        <w:rPr>
          <w:sz w:val="22"/>
        </w:rPr>
      </w:pPr>
      <w:r>
        <w:rPr>
          <w:b/>
          <w:sz w:val="22"/>
        </w:rPr>
        <w:t xml:space="preserve">Source: </w:t>
      </w:r>
      <w:r>
        <w:rPr>
          <w:b/>
          <w:sz w:val="22"/>
        </w:rPr>
        <w:tab/>
      </w:r>
      <w:bookmarkStart w:id="1" w:name="_Hlk41145958"/>
      <w:r>
        <w:rPr>
          <w:sz w:val="22"/>
        </w:rPr>
        <w:t>CMCC</w:t>
      </w:r>
      <w:bookmarkEnd w:id="1"/>
    </w:p>
    <w:p w14:paraId="02D7146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Discussion on the RRM requirement for IOT NTN phase3</w:t>
      </w:r>
    </w:p>
    <w:bookmarkEnd w:id="3"/>
    <w:bookmarkEnd w:id="4"/>
    <w:p w14:paraId="4B73DEC5">
      <w:pPr>
        <w:tabs>
          <w:tab w:val="left" w:pos="1765"/>
        </w:tabs>
        <w:rPr>
          <w:sz w:val="22"/>
        </w:rPr>
      </w:pPr>
      <w:r>
        <w:rPr>
          <w:b/>
          <w:sz w:val="22"/>
        </w:rPr>
        <w:t>Document for:</w:t>
      </w:r>
      <w:r>
        <w:rPr>
          <w:b/>
          <w:sz w:val="22"/>
        </w:rPr>
        <w:tab/>
      </w:r>
      <w:r>
        <w:rPr>
          <w:sz w:val="22"/>
        </w:rPr>
        <w:t>Discussion</w:t>
      </w:r>
    </w:p>
    <w:p w14:paraId="7753F78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677DEA7">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In last meeting, RAN4 clarified the definition of N</w:t>
      </w:r>
      <w:r>
        <w:rPr>
          <w:rFonts w:hint="eastAsia"/>
          <w:sz w:val="20"/>
          <w:szCs w:val="20"/>
          <w:vertAlign w:val="subscript"/>
          <w:lang w:val="en-US" w:eastAsia="zh-CN"/>
        </w:rPr>
        <w:t>TA</w:t>
      </w:r>
      <w:r>
        <w:rPr>
          <w:rFonts w:hint="eastAsia"/>
          <w:sz w:val="20"/>
          <w:szCs w:val="20"/>
          <w:lang w:val="en-US" w:eastAsia="zh-CN"/>
        </w:rPr>
        <w:t xml:space="preserve"> for IOT NTN phase 3,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 based on the progress of RAN1/2/3</w:t>
      </w:r>
      <w:r>
        <w:rPr>
          <w:rFonts w:eastAsia="等线"/>
          <w:sz w:val="20"/>
          <w:szCs w:val="20"/>
        </w:rPr>
        <w:t>.</w:t>
      </w:r>
    </w:p>
    <w:p w14:paraId="6ACA71D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EDT enhancement</w:t>
      </w:r>
    </w:p>
    <w:p w14:paraId="56935243">
      <w:pPr>
        <w:outlineLvl w:val="9"/>
        <w:rPr>
          <w:rFonts w:hint="eastAsia"/>
          <w:b/>
          <w:i/>
          <w:iCs/>
          <w:sz w:val="20"/>
          <w:szCs w:val="20"/>
          <w:highlight w:val="none"/>
          <w:u w:val="single"/>
          <w:lang w:val="en-US" w:eastAsia="zh-CN"/>
        </w:rPr>
      </w:pPr>
      <w:bookmarkStart w:id="8" w:name="_Hlk147849822"/>
      <w:r>
        <w:rPr>
          <w:rFonts w:hint="eastAsia"/>
          <w:b/>
          <w:i/>
          <w:iCs/>
          <w:sz w:val="20"/>
          <w:szCs w:val="20"/>
          <w:highlight w:val="none"/>
          <w:u w:val="single"/>
          <w:lang w:val="en-US" w:eastAsia="zh-CN"/>
        </w:rPr>
        <w:t>Timing requirement for EDT enhancement</w:t>
      </w:r>
    </w:p>
    <w:p w14:paraId="73C9ECA5">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RAN2 agreed to consider CB-msg3 EDT transmission for the cases confirmed by RAN1/RAN4. The related agreements are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32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6E7221">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kern w:val="2"/>
                <w:sz w:val="20"/>
                <w:szCs w:val="20"/>
                <w:highlight w:val="green"/>
                <w:vertAlign w:val="baseline"/>
                <w:lang w:val="en-US" w:eastAsia="zh-CN"/>
              </w:rPr>
            </w:pPr>
            <w:r>
              <w:rPr>
                <w:rFonts w:hint="eastAsia"/>
                <w:b/>
                <w:bCs/>
                <w:kern w:val="2"/>
                <w:sz w:val="20"/>
                <w:szCs w:val="20"/>
                <w:highlight w:val="green"/>
                <w:vertAlign w:val="baseline"/>
                <w:lang w:val="en-US" w:eastAsia="zh-CN"/>
              </w:rPr>
              <w:t>Agreements before RAN2#128</w:t>
            </w:r>
          </w:p>
          <w:p w14:paraId="76E060BD">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will introduce support for DSA (i.e. the possibility to transmit more than one replica of CB-msg3, if configured by the NW). RAN2 does not intend to work on CRDSA in Rel-19.</w:t>
            </w:r>
          </w:p>
          <w:p w14:paraId="14215F0A">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will continue their work on CB-msg3 assuming that OCC2 might also apply to CB-msg3 transmission (“CB-NPUSCH”) (final decision whether this is feasible is up to RAN1). FFS whether an LS to indicate this to RAN1 is needed.</w:t>
            </w:r>
          </w:p>
          <w:p w14:paraId="511E32BC">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At least system Information is used to provide CB-msg3 EDT cell-specific PUSCH resources for Msg3 transmission. FFS on signalling details.</w:t>
            </w:r>
          </w:p>
          <w:p w14:paraId="088F796E">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CB-msg3 EDT cell specific PUSCH resources for Msg3 transmission are provided per CE level (FFS whether we have a CE level specific configuration for DSA)</w:t>
            </w:r>
          </w:p>
          <w:p w14:paraId="069BEDE7">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01B6DD85">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At least in the cases confirmed by RAN1/RAN4, a running TAT is not needed to initiate a CB-msg3 EDT transmission</w:t>
            </w:r>
          </w:p>
          <w:p w14:paraId="03A049B2">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 RNTI used at least to schedule Msg4 transmission is derived based on the resource associated to the PUSCH occasion used for contention based Msg3 EDT transmission (FFS on the details. FFS how this is impacted by DSA)</w:t>
            </w:r>
          </w:p>
          <w:p w14:paraId="6BD4B10D">
            <w:pPr>
              <w:keepNext w:val="0"/>
              <w:keepLines w:val="0"/>
              <w:pageBreakBefore w:val="0"/>
              <w:widowControl/>
              <w:numPr>
                <w:ilvl w:val="0"/>
                <w:numId w:val="6"/>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CB-msg3 EDT procedures and any Msg4 enhancement are only introduced for IoT NTN.</w:t>
            </w:r>
          </w:p>
          <w:p w14:paraId="667B0377">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highlight w:val="green"/>
                <w:vertAlign w:val="baseline"/>
                <w:lang w:val="en-US" w:eastAsia="zh-CN"/>
              </w:rPr>
            </w:pPr>
            <w:r>
              <w:rPr>
                <w:rFonts w:hint="eastAsia"/>
                <w:b/>
                <w:bCs/>
                <w:kern w:val="2"/>
                <w:sz w:val="20"/>
                <w:szCs w:val="20"/>
                <w:highlight w:val="green"/>
                <w:vertAlign w:val="baseline"/>
                <w:lang w:val="en-US" w:eastAsia="zh-CN"/>
              </w:rPr>
              <w:t>Agreements from RAN2#128</w:t>
            </w:r>
          </w:p>
          <w:p w14:paraId="0CE240A9">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Only system Information is used to provide cell-specific CB-Msg3 PUSCH resources (FFS if anything is needed in dedicated signalling for the TA validation parameters, if needed, for the case of 15kHz SCS NB-IoT and eMTC CE mode B)</w:t>
            </w:r>
          </w:p>
          <w:p w14:paraId="6FDA10A6">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Reuse the existing CE level selection procedure for CB-Msg3, at least for the initial selection. FFS whether we can reuse the same thresholds. FFS on the number of levels</w:t>
            </w:r>
          </w:p>
          <w:p w14:paraId="48AE2C04">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 UE triggers CB-Msg3 only if the size of pending UL data is less than the configured maximum TBS (FFS if the maximum TBS is same or different for different CE levels)</w:t>
            </w:r>
          </w:p>
          <w:p w14:paraId="6D92E76D">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6798689A">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 number of replicas for DSA will be configured by the NW: 1 (SA), 2, 3, 4. The configuration of the number of replicas is CE-level specific</w:t>
            </w:r>
          </w:p>
          <w:p w14:paraId="47EE336D">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There will be a configurable time window for DSA CB-Msg3 occasion selection. FFS on the details (e.g. when the time window starts)</w:t>
            </w:r>
          </w:p>
          <w:p w14:paraId="541D8733">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For SA case (single replica), after the end of all repetition of CB-Msg3 PUSCH transmission, UE starts a window for response reception taking UE-eNB RTT into account. FFS if we need to consider additional delay e.g. for the processing time</w:t>
            </w:r>
          </w:p>
          <w:p w14:paraId="66E1D93D">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715E83EA">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The UE stops the PDCCH monitoring window(s) once it receives a CB-msg4 containing a matching Contention Resolution Identity (FFS if there is no RRC message together with the CB-msg4)</w:t>
            </w:r>
          </w:p>
          <w:p w14:paraId="01E921B3">
            <w:pPr>
              <w:keepNext w:val="0"/>
              <w:keepLines w:val="0"/>
              <w:pageBreakBefore w:val="0"/>
              <w:widowControl/>
              <w:numPr>
                <w:ilvl w:val="0"/>
                <w:numId w:val="7"/>
              </w:numPr>
              <w:tabs>
                <w:tab w:val="left" w:pos="1134"/>
              </w:tabs>
              <w:kinsoku/>
              <w:wordWrap/>
              <w:overflowPunct/>
              <w:topLinePunct w:val="0"/>
              <w:autoSpaceDE/>
              <w:autoSpaceDN/>
              <w:bidi w:val="0"/>
              <w:adjustRightInd/>
              <w:snapToGrid/>
              <w:spacing w:before="157" w:beforeLines="50" w:line="240" w:lineRule="auto"/>
              <w:ind w:left="0" w:leftChars="0" w:firstLine="0" w:firstLineChars="0"/>
              <w:jc w:val="both"/>
              <w:textAlignment w:val="auto"/>
              <w:rPr>
                <w:rFonts w:hint="default"/>
                <w:kern w:val="2"/>
                <w:sz w:val="20"/>
                <w:szCs w:val="20"/>
                <w:vertAlign w:val="baseline"/>
                <w:lang w:val="en-US" w:eastAsia="zh-CN"/>
              </w:rPr>
            </w:pPr>
            <w:r>
              <w:rPr>
                <w:rFonts w:hint="eastAsia"/>
                <w:kern w:val="2"/>
                <w:sz w:val="20"/>
                <w:szCs w:val="20"/>
                <w:vertAlign w:val="baseline"/>
                <w:lang w:val="en-US" w:eastAsia="zh-CN"/>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tc>
      </w:tr>
    </w:tbl>
    <w:p w14:paraId="0210D9D9">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the timing related requirements, due to no further available relevant agreement from RAN2, the discussion of this part can be hold on.</w:t>
      </w:r>
    </w:p>
    <w:p w14:paraId="59449419">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Suspend the discussion of UL timing requirement until further relevant agreement from RAN2 is available.</w:t>
      </w:r>
    </w:p>
    <w:p w14:paraId="6F3069C5">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RAN2 introduced a RSRP threshold that determines whether CB-Msg3 can be used. Then how UE derive the RSRP may need further discussion, for example, UE uses Srxlev to compare with RSRP threshold, or UE use the RSRP value derived by new delay requirement to compare with RSRP threshold. We can wait further clarification from RAN2 to see whether RAN4 need to define some new delay requirements.</w:t>
      </w:r>
    </w:p>
    <w:p w14:paraId="45286027">
      <w:pPr>
        <w:outlineLvl w:val="9"/>
        <w:rPr>
          <w:rFonts w:hint="default"/>
          <w:kern w:val="2"/>
          <w:sz w:val="20"/>
          <w:szCs w:val="20"/>
          <w:vertAlign w:val="baseline"/>
          <w:lang w:val="en-US" w:eastAsia="zh-CN"/>
        </w:rPr>
      </w:pPr>
    </w:p>
    <w:bookmarkEnd w:id="5"/>
    <w:bookmarkEnd w:id="8"/>
    <w:p w14:paraId="2A827ED1">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137178A6">
      <w:pPr>
        <w:spacing w:before="60"/>
        <w:rPr>
          <w:sz w:val="20"/>
          <w:szCs w:val="20"/>
        </w:rPr>
      </w:pPr>
      <w:r>
        <w:rPr>
          <w:sz w:val="20"/>
          <w:szCs w:val="20"/>
        </w:rPr>
        <w:t xml:space="preserve">Based on the discussion above, the following proposal </w:t>
      </w:r>
      <w:r>
        <w:rPr>
          <w:rFonts w:hint="eastAsia"/>
          <w:sz w:val="20"/>
          <w:szCs w:val="20"/>
          <w:lang w:val="en-US" w:eastAsia="zh-CN"/>
        </w:rPr>
        <w:t>is</w:t>
      </w:r>
      <w:r>
        <w:rPr>
          <w:sz w:val="20"/>
          <w:szCs w:val="20"/>
        </w:rPr>
        <w:t xml:space="preserve"> concluded. </w:t>
      </w:r>
      <w:bookmarkEnd w:id="6"/>
      <w:bookmarkEnd w:id="7"/>
    </w:p>
    <w:p w14:paraId="4BA72F59">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Suspend the discussion of UL timing requirement until further relevant agreement from RAN2 is available.</w:t>
      </w:r>
    </w:p>
    <w:p w14:paraId="0A0F2563">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p>
    <w:p w14:paraId="7E84BD6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CB9AE25">
      <w:pPr>
        <w:numPr>
          <w:ilvl w:val="0"/>
          <w:numId w:val="8"/>
        </w:numPr>
        <w:rPr>
          <w:rFonts w:hint="default" w:eastAsiaTheme="minorEastAsia"/>
          <w:sz w:val="20"/>
          <w:szCs w:val="20"/>
          <w:lang w:val="en-US" w:eastAsia="zh-CN"/>
        </w:rPr>
      </w:pPr>
      <w:r>
        <w:rPr>
          <w:rFonts w:hint="eastAsia"/>
          <w:sz w:val="20"/>
          <w:szCs w:val="20"/>
          <w:lang w:val="en-US" w:eastAsia="zh-CN"/>
        </w:rPr>
        <w:t>R4-2420106, WF on RRM requirements for IoT_NTN_Ph3,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A56C89"/>
    <w:multiLevelType w:val="singleLevel"/>
    <w:tmpl w:val="B8A56C89"/>
    <w:lvl w:ilvl="0" w:tentative="0">
      <w:start w:val="1"/>
      <w:numFmt w:val="decimal"/>
      <w:suff w:val="space"/>
      <w:lvlText w:val="%1."/>
      <w:lvlJc w:val="left"/>
    </w:lvl>
  </w:abstractNum>
  <w:abstractNum w:abstractNumId="1">
    <w:nsid w:val="FD0A8149"/>
    <w:multiLevelType w:val="singleLevel"/>
    <w:tmpl w:val="FD0A8149"/>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9EE624D"/>
    <w:multiLevelType w:val="singleLevel"/>
    <w:tmpl w:val="79EE624D"/>
    <w:lvl w:ilvl="0" w:tentative="0">
      <w:start w:val="1"/>
      <w:numFmt w:val="decimal"/>
      <w:suff w:val="space"/>
      <w:lvlText w:val="[%1]"/>
      <w:lvlJc w:val="left"/>
    </w:lvl>
  </w:abstractNum>
  <w:num w:numId="1">
    <w:abstractNumId w:val="6"/>
  </w:num>
  <w:num w:numId="2">
    <w:abstractNumId w:val="4"/>
  </w:num>
  <w:num w:numId="3">
    <w:abstractNumId w:val="3"/>
  </w:num>
  <w:num w:numId="4">
    <w:abstractNumId w:val="5"/>
  </w:num>
  <w:num w:numId="5">
    <w:abstractNumId w:val="2"/>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4027B7C"/>
    <w:rsid w:val="04270E0A"/>
    <w:rsid w:val="04F14AC0"/>
    <w:rsid w:val="05E842A2"/>
    <w:rsid w:val="061C4A75"/>
    <w:rsid w:val="06830D3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4E90996"/>
    <w:rsid w:val="155A08C9"/>
    <w:rsid w:val="16F963FC"/>
    <w:rsid w:val="17F40229"/>
    <w:rsid w:val="17F76EF9"/>
    <w:rsid w:val="18572D14"/>
    <w:rsid w:val="19166C11"/>
    <w:rsid w:val="19684D1A"/>
    <w:rsid w:val="199268D2"/>
    <w:rsid w:val="19AE4C3C"/>
    <w:rsid w:val="19E84EE7"/>
    <w:rsid w:val="1A337C08"/>
    <w:rsid w:val="1A693185"/>
    <w:rsid w:val="1ACF2D8D"/>
    <w:rsid w:val="1AE9076D"/>
    <w:rsid w:val="1B08792E"/>
    <w:rsid w:val="1C045BB5"/>
    <w:rsid w:val="1CE6214B"/>
    <w:rsid w:val="1D482986"/>
    <w:rsid w:val="1D530466"/>
    <w:rsid w:val="1E727913"/>
    <w:rsid w:val="1EBC4909"/>
    <w:rsid w:val="203F5164"/>
    <w:rsid w:val="20741BCD"/>
    <w:rsid w:val="21E6327B"/>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52567F"/>
    <w:rsid w:val="2AD63ADB"/>
    <w:rsid w:val="2B2D51E0"/>
    <w:rsid w:val="2C4D5396"/>
    <w:rsid w:val="2CCE420F"/>
    <w:rsid w:val="2CCE7A93"/>
    <w:rsid w:val="2D3C0CBF"/>
    <w:rsid w:val="2D480610"/>
    <w:rsid w:val="2E177608"/>
    <w:rsid w:val="2E285745"/>
    <w:rsid w:val="2E5D0DE0"/>
    <w:rsid w:val="2E954754"/>
    <w:rsid w:val="2EBB7CD6"/>
    <w:rsid w:val="2ECD6A4D"/>
    <w:rsid w:val="2F1F43E1"/>
    <w:rsid w:val="2F28060A"/>
    <w:rsid w:val="2FF748E5"/>
    <w:rsid w:val="302A3B16"/>
    <w:rsid w:val="30A75F51"/>
    <w:rsid w:val="30B631AE"/>
    <w:rsid w:val="311C418B"/>
    <w:rsid w:val="312A6EA1"/>
    <w:rsid w:val="314F1B30"/>
    <w:rsid w:val="33106379"/>
    <w:rsid w:val="33417212"/>
    <w:rsid w:val="339A6C60"/>
    <w:rsid w:val="33A629ED"/>
    <w:rsid w:val="33C33478"/>
    <w:rsid w:val="33CE3940"/>
    <w:rsid w:val="33E2308C"/>
    <w:rsid w:val="33FF585B"/>
    <w:rsid w:val="34C969B6"/>
    <w:rsid w:val="35CB3800"/>
    <w:rsid w:val="36081486"/>
    <w:rsid w:val="3620464F"/>
    <w:rsid w:val="36267311"/>
    <w:rsid w:val="36ED2DC2"/>
    <w:rsid w:val="37EB30F3"/>
    <w:rsid w:val="38616D76"/>
    <w:rsid w:val="3B1D4D3A"/>
    <w:rsid w:val="3B1E11F2"/>
    <w:rsid w:val="3B2E7C35"/>
    <w:rsid w:val="3B3261DC"/>
    <w:rsid w:val="3BCD3BF3"/>
    <w:rsid w:val="3BE87C7E"/>
    <w:rsid w:val="3C1B0BDA"/>
    <w:rsid w:val="3C1C2A58"/>
    <w:rsid w:val="3C3F629C"/>
    <w:rsid w:val="3CC57762"/>
    <w:rsid w:val="3D2E150D"/>
    <w:rsid w:val="3D774C98"/>
    <w:rsid w:val="3DA924E0"/>
    <w:rsid w:val="3DC27C3E"/>
    <w:rsid w:val="3DD26E51"/>
    <w:rsid w:val="3DFE15C4"/>
    <w:rsid w:val="3FFA159D"/>
    <w:rsid w:val="4028093E"/>
    <w:rsid w:val="40A203D0"/>
    <w:rsid w:val="41021CB6"/>
    <w:rsid w:val="42714C57"/>
    <w:rsid w:val="428C04CB"/>
    <w:rsid w:val="438A330C"/>
    <w:rsid w:val="43D2693C"/>
    <w:rsid w:val="43D74856"/>
    <w:rsid w:val="44163202"/>
    <w:rsid w:val="443A7490"/>
    <w:rsid w:val="44694FB6"/>
    <w:rsid w:val="44BE5853"/>
    <w:rsid w:val="44D416C8"/>
    <w:rsid w:val="44F042A4"/>
    <w:rsid w:val="44FF42DF"/>
    <w:rsid w:val="45004955"/>
    <w:rsid w:val="45104F09"/>
    <w:rsid w:val="4568626D"/>
    <w:rsid w:val="45D44A70"/>
    <w:rsid w:val="468D0F58"/>
    <w:rsid w:val="471B29A4"/>
    <w:rsid w:val="47271E44"/>
    <w:rsid w:val="47382E8E"/>
    <w:rsid w:val="47BD2EBF"/>
    <w:rsid w:val="480073D8"/>
    <w:rsid w:val="483C7010"/>
    <w:rsid w:val="48827744"/>
    <w:rsid w:val="489F04CD"/>
    <w:rsid w:val="48DD3AEA"/>
    <w:rsid w:val="48FF5BC4"/>
    <w:rsid w:val="4909275C"/>
    <w:rsid w:val="4969225B"/>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04A43"/>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37E05"/>
    <w:rsid w:val="67791B52"/>
    <w:rsid w:val="678F7D1C"/>
    <w:rsid w:val="67B02672"/>
    <w:rsid w:val="67F34F90"/>
    <w:rsid w:val="67FA6925"/>
    <w:rsid w:val="68F9738C"/>
    <w:rsid w:val="690A41ED"/>
    <w:rsid w:val="6950210B"/>
    <w:rsid w:val="69B84930"/>
    <w:rsid w:val="6A5938C4"/>
    <w:rsid w:val="6AA1751A"/>
    <w:rsid w:val="6B3773F6"/>
    <w:rsid w:val="6B695BBB"/>
    <w:rsid w:val="6CD75013"/>
    <w:rsid w:val="6D72001A"/>
    <w:rsid w:val="6D790A61"/>
    <w:rsid w:val="6D7E2715"/>
    <w:rsid w:val="6E7D749A"/>
    <w:rsid w:val="6EC018FE"/>
    <w:rsid w:val="6F150A16"/>
    <w:rsid w:val="6FAC37F7"/>
    <w:rsid w:val="6FD518E1"/>
    <w:rsid w:val="709A16D4"/>
    <w:rsid w:val="70B558FD"/>
    <w:rsid w:val="70E53CAB"/>
    <w:rsid w:val="7191735E"/>
    <w:rsid w:val="722B0C34"/>
    <w:rsid w:val="738E763D"/>
    <w:rsid w:val="74521C25"/>
    <w:rsid w:val="74BC07DB"/>
    <w:rsid w:val="7530247A"/>
    <w:rsid w:val="759978CC"/>
    <w:rsid w:val="762E3794"/>
    <w:rsid w:val="76320D9A"/>
    <w:rsid w:val="76871284"/>
    <w:rsid w:val="769367A2"/>
    <w:rsid w:val="77DC6BAC"/>
    <w:rsid w:val="77EA2826"/>
    <w:rsid w:val="77EB1A53"/>
    <w:rsid w:val="78833509"/>
    <w:rsid w:val="78DE7EBE"/>
    <w:rsid w:val="79497FA2"/>
    <w:rsid w:val="799A470F"/>
    <w:rsid w:val="7A03179C"/>
    <w:rsid w:val="7A496371"/>
    <w:rsid w:val="7A8B7C93"/>
    <w:rsid w:val="7B0E64C9"/>
    <w:rsid w:val="7B3426D8"/>
    <w:rsid w:val="7C1A4147"/>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2</Pages>
  <Words>3418</Words>
  <Characters>19486</Characters>
  <Lines>162</Lines>
  <Paragraphs>45</Paragraphs>
  <TotalTime>7</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2025-02-07T09:07:27Z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